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4372" w:rsidRPr="00CB4372" w:rsidRDefault="00CB4372" w:rsidP="00CB4372">
      <w:pPr>
        <w:rPr>
          <w:rFonts w:ascii="Times New Roman" w:hAnsi="Times New Roman" w:cs="Times New Roman"/>
          <w:sz w:val="28"/>
          <w:szCs w:val="28"/>
        </w:rPr>
      </w:pPr>
    </w:p>
    <w:tbl>
      <w:tblPr>
        <w:tblpPr w:leftFromText="120" w:rightFromText="45" w:vertAnchor="text"/>
        <w:tblW w:w="1500" w:type="pct"/>
        <w:tblCellSpacing w:w="15" w:type="dxa"/>
        <w:tblCellMar>
          <w:top w:w="20" w:type="dxa"/>
          <w:left w:w="20" w:type="dxa"/>
          <w:bottom w:w="20" w:type="dxa"/>
          <w:right w:w="20" w:type="dxa"/>
        </w:tblCellMar>
        <w:tblLook w:val="04A0" w:firstRow="1" w:lastRow="0" w:firstColumn="1" w:lastColumn="0" w:noHBand="0" w:noVBand="1"/>
      </w:tblPr>
      <w:tblGrid>
        <w:gridCol w:w="2720"/>
      </w:tblGrid>
      <w:tr w:rsidR="00CB4372" w:rsidRPr="00CB4372" w:rsidTr="00CB4372">
        <w:trPr>
          <w:tblCellSpacing w:w="15" w:type="dxa"/>
        </w:trPr>
        <w:tc>
          <w:tcPr>
            <w:tcW w:w="1100" w:type="pct"/>
            <w:hideMark/>
          </w:tcPr>
          <w:p w:rsidR="00CB4372" w:rsidRPr="00CB4372" w:rsidRDefault="00CB4372" w:rsidP="00CB4372">
            <w:pPr>
              <w:jc w:val="center"/>
              <w:rPr>
                <w:rFonts w:ascii="Times New Roman" w:hAnsi="Times New Roman" w:cs="Times New Roman"/>
                <w:b/>
                <w:bCs/>
                <w:sz w:val="28"/>
                <w:szCs w:val="28"/>
              </w:rPr>
            </w:pPr>
            <w:r w:rsidRPr="00CB4372">
              <w:rPr>
                <w:rFonts w:ascii="Times New Roman" w:hAnsi="Times New Roman" w:cs="Times New Roman"/>
                <w:b/>
                <w:bCs/>
                <w:sz w:val="28"/>
                <w:szCs w:val="28"/>
              </w:rPr>
              <w:t>BỘ CÔNG AN</w:t>
            </w:r>
          </w:p>
          <w:p w:rsidR="00CB4372" w:rsidRDefault="00CB4372" w:rsidP="00CB4372">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461645</wp:posOffset>
                      </wp:positionH>
                      <wp:positionV relativeFrom="paragraph">
                        <wp:posOffset>66128</wp:posOffset>
                      </wp:positionV>
                      <wp:extent cx="694481" cy="0"/>
                      <wp:effectExtent l="0" t="0" r="17145" b="12700"/>
                      <wp:wrapNone/>
                      <wp:docPr id="1707806637" name="Straight Connector 2"/>
                      <wp:cNvGraphicFramePr/>
                      <a:graphic xmlns:a="http://schemas.openxmlformats.org/drawingml/2006/main">
                        <a:graphicData uri="http://schemas.microsoft.com/office/word/2010/wordprocessingShape">
                          <wps:wsp>
                            <wps:cNvCnPr/>
                            <wps:spPr>
                              <a:xfrm>
                                <a:off x="0" y="0"/>
                                <a:ext cx="6944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E6128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5pt,5.2pt" to="91.05pt,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" strokecolor="#4472c4 [3204]" strokeweight=".5pt">
                      <v:stroke joinstyle="miter"/>
                    </v:line>
                  </w:pict>
                </mc:Fallback>
              </mc:AlternateContent>
            </w:r>
          </w:p>
          <w:p w:rsidR="00CB4372" w:rsidRDefault="00CB4372" w:rsidP="00CB4372">
            <w:pPr>
              <w:jc w:val="center"/>
              <w:rPr>
                <w:rFonts w:ascii="Times New Roman" w:hAnsi="Times New Roman" w:cs="Times New Roman"/>
                <w:sz w:val="28"/>
                <w:szCs w:val="28"/>
              </w:rPr>
            </w:pPr>
          </w:p>
          <w:p w:rsidR="00CB4372" w:rsidRPr="00CB4372" w:rsidRDefault="00CB4372" w:rsidP="00CB4372">
            <w:pPr>
              <w:jc w:val="center"/>
              <w:rPr>
                <w:rFonts w:ascii="Times New Roman" w:hAnsi="Times New Roman" w:cs="Times New Roman"/>
                <w:sz w:val="28"/>
                <w:szCs w:val="28"/>
              </w:rPr>
            </w:pPr>
            <w:r w:rsidRPr="00CB4372">
              <w:rPr>
                <w:rFonts w:ascii="Times New Roman" w:hAnsi="Times New Roman" w:cs="Times New Roman"/>
                <w:sz w:val="28"/>
                <w:szCs w:val="28"/>
              </w:rPr>
              <w:t>Số: 39/2025/TT-BCA</w:t>
            </w:r>
          </w:p>
        </w:tc>
      </w:tr>
    </w:tbl>
    <w:tbl>
      <w:tblPr>
        <w:tblpPr w:leftFromText="45" w:rightFromText="45" w:vertAnchor="text" w:tblpXSpec="right" w:tblpYSpec="center"/>
        <w:tblW w:w="3000" w:type="pct"/>
        <w:tblCellSpacing w:w="15" w:type="dxa"/>
        <w:tblCellMar>
          <w:top w:w="20" w:type="dxa"/>
          <w:left w:w="20" w:type="dxa"/>
          <w:bottom w:w="20" w:type="dxa"/>
          <w:right w:w="20" w:type="dxa"/>
        </w:tblCellMar>
        <w:tblLook w:val="04A0" w:firstRow="1" w:lastRow="0" w:firstColumn="1" w:lastColumn="0" w:noHBand="0" w:noVBand="1"/>
      </w:tblPr>
      <w:tblGrid>
        <w:gridCol w:w="5439"/>
      </w:tblGrid>
      <w:tr w:rsidR="00CB4372" w:rsidRPr="00CB4372" w:rsidTr="00CB4372">
        <w:trPr>
          <w:tblCellSpacing w:w="15" w:type="dxa"/>
        </w:trPr>
        <w:tc>
          <w:tcPr>
            <w:tcW w:w="0" w:type="auto"/>
            <w:vAlign w:val="center"/>
            <w:hideMark/>
          </w:tcPr>
          <w:p w:rsidR="00CB4372" w:rsidRPr="00CB4372" w:rsidRDefault="00CB4372" w:rsidP="00CB4372">
            <w:pPr>
              <w:ind w:left="-54"/>
              <w:jc w:val="center"/>
              <w:rPr>
                <w:rFonts w:ascii="Times New Roman Bold" w:hAnsi="Times New Roman Bold" w:cs="Times New Roman"/>
                <w:b/>
                <w:spacing w:val="-10"/>
                <w:sz w:val="26"/>
                <w:szCs w:val="26"/>
              </w:rPr>
            </w:pPr>
            <w:r w:rsidRPr="00CB4372">
              <w:rPr>
                <w:rFonts w:ascii="Times New Roman Bold" w:hAnsi="Times New Roman Bold" w:cs="Times New Roman"/>
                <w:b/>
                <w:spacing w:val="-10"/>
                <w:sz w:val="26"/>
                <w:szCs w:val="26"/>
              </w:rPr>
              <w:t>CỘNG HOÀ XÃ HỘI CHỦ NGHĨA VIỆT NAM</w:t>
            </w:r>
          </w:p>
          <w:p w:rsidR="00CB4372" w:rsidRPr="00CB4372" w:rsidRDefault="00CB4372" w:rsidP="00CB4372">
            <w:pPr>
              <w:jc w:val="center"/>
              <w:rPr>
                <w:rFonts w:ascii="Times New Roman" w:hAnsi="Times New Roman" w:cs="Times New Roman"/>
                <w:b/>
                <w:bCs/>
                <w:sz w:val="28"/>
                <w:szCs w:val="28"/>
              </w:rPr>
            </w:pPr>
            <w:r w:rsidRPr="00CB4372">
              <w:rPr>
                <w:rFonts w:ascii="Times New Roman" w:hAnsi="Times New Roman" w:cs="Times New Roman"/>
                <w:b/>
                <w:bCs/>
                <w:sz w:val="28"/>
                <w:szCs w:val="28"/>
              </w:rPr>
              <w:t>Độc lập - Tự do - Hạnh phúc</w:t>
            </w:r>
          </w:p>
          <w:p w:rsidR="00CB4372" w:rsidRDefault="00CB4372" w:rsidP="00CB4372">
            <w:pPr>
              <w:jc w:val="center"/>
              <w:rPr>
                <w:rFonts w:ascii="Times New Roman" w:hAnsi="Times New Roman" w:cs="Times New Roman"/>
                <w:i/>
                <w:iCs/>
                <w:sz w:val="28"/>
                <w:szCs w:val="28"/>
              </w:rPr>
            </w:pPr>
            <w:r>
              <w:rPr>
                <w:rFonts w:ascii="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611544</wp:posOffset>
                      </wp:positionH>
                      <wp:positionV relativeFrom="paragraph">
                        <wp:posOffset>8673</wp:posOffset>
                      </wp:positionV>
                      <wp:extent cx="2141317" cy="0"/>
                      <wp:effectExtent l="0" t="0" r="5080" b="12700"/>
                      <wp:wrapNone/>
                      <wp:docPr id="41733675" name="Straight Connector 3"/>
                      <wp:cNvGraphicFramePr/>
                      <a:graphic xmlns:a="http://schemas.openxmlformats.org/drawingml/2006/main">
                        <a:graphicData uri="http://schemas.microsoft.com/office/word/2010/wordprocessingShape">
                          <wps:wsp>
                            <wps:cNvCnPr/>
                            <wps:spPr>
                              <a:xfrm>
                                <a:off x="0" y="0"/>
                                <a:ext cx="21413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5236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15pt,.7pt" to="216.7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" strokecolor="#4472c4 [3204]" strokeweight=".5pt">
                      <v:stroke joinstyle="miter"/>
                    </v:line>
                  </w:pict>
                </mc:Fallback>
              </mc:AlternateContent>
            </w:r>
          </w:p>
          <w:p w:rsidR="00CB4372" w:rsidRPr="00CB4372" w:rsidRDefault="00CB4372" w:rsidP="00CB4372">
            <w:pPr>
              <w:jc w:val="center"/>
              <w:rPr>
                <w:rFonts w:ascii="Times New Roman" w:hAnsi="Times New Roman" w:cs="Times New Roman"/>
                <w:i/>
                <w:iCs/>
                <w:sz w:val="28"/>
                <w:szCs w:val="28"/>
              </w:rPr>
            </w:pPr>
            <w:r w:rsidRPr="00CB4372">
              <w:rPr>
                <w:rFonts w:ascii="Times New Roman" w:hAnsi="Times New Roman" w:cs="Times New Roman"/>
                <w:i/>
                <w:iCs/>
                <w:sz w:val="28"/>
                <w:szCs w:val="28"/>
              </w:rPr>
              <w:t>Hà Nội, ngày 19 tháng 5 năm 2025</w:t>
            </w:r>
          </w:p>
          <w:p w:rsidR="00CB4372" w:rsidRPr="00CB4372" w:rsidRDefault="00CB4372" w:rsidP="00CB4372">
            <w:pPr>
              <w:rPr>
                <w:rFonts w:ascii="Times New Roman" w:hAnsi="Times New Roman" w:cs="Times New Roman"/>
                <w:sz w:val="28"/>
                <w:szCs w:val="28"/>
              </w:rPr>
            </w:pPr>
          </w:p>
        </w:tc>
      </w:tr>
    </w:tbl>
    <w:p w:rsidR="00CB4372" w:rsidRPr="00CB4372" w:rsidRDefault="00CB4372" w:rsidP="00CB4372">
      <w:pPr>
        <w:rPr>
          <w:rFonts w:ascii="Times New Roman" w:hAnsi="Times New Roman" w:cs="Times New Roman"/>
          <w:sz w:val="28"/>
          <w:szCs w:val="28"/>
        </w:rPr>
      </w:pPr>
    </w:p>
    <w:p w:rsidR="00CB4372" w:rsidRDefault="00CB4372" w:rsidP="00CB4372">
      <w:pPr>
        <w:rPr>
          <w:rFonts w:ascii="Times New Roman" w:hAnsi="Times New Roman" w:cs="Times New Roman"/>
          <w:sz w:val="28"/>
          <w:szCs w:val="28"/>
        </w:rPr>
      </w:pPr>
    </w:p>
    <w:p w:rsidR="00CB4372" w:rsidRDefault="00CB4372" w:rsidP="00CB4372">
      <w:pPr>
        <w:rPr>
          <w:rFonts w:ascii="Times New Roman" w:hAnsi="Times New Roman" w:cs="Times New Roman"/>
          <w:sz w:val="28"/>
          <w:szCs w:val="28"/>
        </w:rPr>
      </w:pPr>
    </w:p>
    <w:p w:rsidR="00CB4372" w:rsidRDefault="00CB4372" w:rsidP="00CB4372">
      <w:pPr>
        <w:rPr>
          <w:rFonts w:ascii="Times New Roman" w:hAnsi="Times New Roman" w:cs="Times New Roman"/>
          <w:sz w:val="28"/>
          <w:szCs w:val="28"/>
        </w:rPr>
      </w:pPr>
    </w:p>
    <w:p w:rsidR="00CB4372" w:rsidRDefault="00CB4372" w:rsidP="00CB4372">
      <w:pPr>
        <w:rPr>
          <w:rFonts w:ascii="Times New Roman" w:hAnsi="Times New Roman" w:cs="Times New Roman"/>
          <w:sz w:val="28"/>
          <w:szCs w:val="28"/>
        </w:rPr>
      </w:pPr>
    </w:p>
    <w:p w:rsidR="00CB4372" w:rsidRDefault="00CB4372" w:rsidP="00CB4372">
      <w:pPr>
        <w:rPr>
          <w:rFonts w:ascii="Times New Roman" w:hAnsi="Times New Roman" w:cs="Times New Roman"/>
          <w:sz w:val="28"/>
          <w:szCs w:val="28"/>
        </w:rPr>
      </w:pPr>
    </w:p>
    <w:p w:rsidR="00CB4372" w:rsidRPr="00CB4372" w:rsidRDefault="00CB4372" w:rsidP="00CB4372">
      <w:pPr>
        <w:jc w:val="center"/>
        <w:rPr>
          <w:rFonts w:ascii="Times New Roman" w:hAnsi="Times New Roman" w:cs="Times New Roman"/>
          <w:b/>
          <w:bCs/>
          <w:sz w:val="28"/>
          <w:szCs w:val="28"/>
        </w:rPr>
      </w:pPr>
      <w:r w:rsidRPr="00CB4372">
        <w:rPr>
          <w:rFonts w:ascii="Times New Roman" w:hAnsi="Times New Roman" w:cs="Times New Roman"/>
          <w:b/>
          <w:bCs/>
          <w:sz w:val="28"/>
          <w:szCs w:val="28"/>
        </w:rPr>
        <w:t>THÔNG TƯ</w:t>
      </w:r>
    </w:p>
    <w:p w:rsidR="00CB4372" w:rsidRPr="00CB4372" w:rsidRDefault="00CB4372" w:rsidP="00CB4372">
      <w:pPr>
        <w:jc w:val="center"/>
        <w:rPr>
          <w:rFonts w:ascii="Times New Roman" w:hAnsi="Times New Roman" w:cs="Times New Roman"/>
          <w:b/>
          <w:bCs/>
          <w:sz w:val="28"/>
          <w:szCs w:val="28"/>
        </w:rPr>
      </w:pPr>
      <w:r w:rsidRPr="00CB4372">
        <w:rPr>
          <w:rFonts w:ascii="Times New Roman" w:hAnsi="Times New Roman" w:cs="Times New Roman"/>
          <w:b/>
          <w:bCs/>
          <w:sz w:val="28"/>
          <w:szCs w:val="28"/>
        </w:rPr>
        <w:t>Quy định về các biểu mẫu sử dụng để xử phạt</w:t>
      </w:r>
    </w:p>
    <w:p w:rsidR="00CB4372" w:rsidRPr="00CB4372" w:rsidRDefault="00CB4372" w:rsidP="00CB4372">
      <w:pPr>
        <w:jc w:val="center"/>
        <w:rPr>
          <w:rFonts w:ascii="Times New Roman" w:hAnsi="Times New Roman" w:cs="Times New Roman"/>
          <w:b/>
          <w:bCs/>
          <w:sz w:val="28"/>
          <w:szCs w:val="28"/>
        </w:rPr>
      </w:pPr>
      <w:r w:rsidRPr="00CB4372">
        <w:rPr>
          <w:rFonts w:ascii="Times New Roman" w:hAnsi="Times New Roman" w:cs="Times New Roman"/>
          <w:b/>
          <w:bCs/>
          <w:sz w:val="28"/>
          <w:szCs w:val="28"/>
        </w:rPr>
        <w:t>vi phạm hành chính thuộc thẩm quyền của Công an nhân dân</w:t>
      </w:r>
    </w:p>
    <w:p w:rsidR="00CB4372" w:rsidRPr="00CB4372" w:rsidRDefault="00CB4372" w:rsidP="00CB4372">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2345970</wp:posOffset>
                </wp:positionH>
                <wp:positionV relativeFrom="paragraph">
                  <wp:posOffset>36283</wp:posOffset>
                </wp:positionV>
                <wp:extent cx="1053297" cy="0"/>
                <wp:effectExtent l="0" t="0" r="13970" b="12700"/>
                <wp:wrapNone/>
                <wp:docPr id="2019771052" name="Straight Connector 4"/>
                <wp:cNvGraphicFramePr/>
                <a:graphic xmlns:a="http://schemas.openxmlformats.org/drawingml/2006/main">
                  <a:graphicData uri="http://schemas.microsoft.com/office/word/2010/wordprocessingShape">
                    <wps:wsp>
                      <wps:cNvCnPr/>
                      <wps:spPr>
                        <a:xfrm>
                          <a:off x="0" y="0"/>
                          <a:ext cx="10532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AB0AD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7pt,2.85pt" to="267.65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" strokecolor="#4472c4 [3204]" strokeweight=".5pt">
                <v:stroke joinstyle="miter"/>
              </v:line>
            </w:pict>
          </mc:Fallback>
        </mc:AlternateContent>
      </w:r>
      <w:r w:rsidRPr="00CB4372">
        <w:rPr>
          <w:rFonts w:ascii="Times New Roman" w:hAnsi="Times New Roman" w:cs="Times New Roman"/>
          <w:sz w:val="28"/>
          <w:szCs w:val="28"/>
        </w:rPr>
        <w:fldChar w:fldCharType="begin"/>
      </w:r>
      <w:r w:rsidRPr="00CB4372">
        <w:rPr>
          <w:rFonts w:ascii="Times New Roman" w:hAnsi="Times New Roman" w:cs="Times New Roman"/>
          <w:sz w:val="28"/>
          <w:szCs w:val="28"/>
        </w:rPr>
        <w:instrText xml:space="preserve"> INCLUDEPICTURE "C:/Users/Admin/AppData/Local/Packages/oice_16_974fa576_32c1d314_18a3/AC/Temp/msohtmlclip1/01/clip_image001.png" \* MERGEFORMATINET </w:instrText>
      </w:r>
      <w:r w:rsidRPr="00CB4372">
        <w:rPr>
          <w:rFonts w:ascii="Times New Roman" w:hAnsi="Times New Roman" w:cs="Times New Roman"/>
          <w:sz w:val="28"/>
          <w:szCs w:val="28"/>
        </w:rPr>
        <w:fldChar w:fldCharType="separate"/>
      </w:r>
      <w:r w:rsidRPr="00CB4372">
        <w:rPr>
          <w:rFonts w:ascii="Times New Roman" w:hAnsi="Times New Roman" w:cs="Times New Roman"/>
          <w:sz w:val="28"/>
          <w:szCs w:val="28"/>
        </w:rPr>
        <mc:AlternateContent>
          <mc:Choice Requires="wps">
            <w:drawing>
              <wp:inline distT="0" distB="0" distL="0" distR="0" wp14:anchorId="7F059B69" wp14:editId="152807E7">
                <wp:extent cx="1470025" cy="34925"/>
                <wp:effectExtent l="0" t="0" r="0" b="0"/>
                <wp:docPr id="7351087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0025" cy="3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1F6988" id="Rectangle 1" o:spid="_x0000_s1026" style="width:115.7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" filled="f" stroked="f">
                <o:lock v:ext="edit" aspectratio="t"/>
                <w10:anchorlock/>
              </v:rect>
            </w:pict>
          </mc:Fallback>
        </mc:AlternateContent>
      </w:r>
      <w:r w:rsidRPr="00CB4372">
        <w:rPr>
          <w:rFonts w:ascii="Times New Roman" w:hAnsi="Times New Roman" w:cs="Times New Roman"/>
          <w:sz w:val="28"/>
          <w:szCs w:val="28"/>
        </w:rPr>
        <w:fldChar w:fldCharType="end"/>
      </w:r>
      <w:r w:rsidRPr="00CB4372">
        <w:rPr>
          <w:rFonts w:ascii="Times New Roman" w:hAnsi="Times New Roman" w:cs="Times New Roman"/>
          <w:sz w:val="28"/>
          <w:szCs w:val="28"/>
        </w:rPr>
        <w:t>         </w:t>
      </w:r>
    </w:p>
    <w:p w:rsidR="00CB4372" w:rsidRPr="00CB4372" w:rsidRDefault="00CB4372" w:rsidP="00CB4372">
      <w:pPr>
        <w:ind w:firstLine="567"/>
        <w:jc w:val="both"/>
        <w:rPr>
          <w:rFonts w:ascii="Times New Roman" w:hAnsi="Times New Roman" w:cs="Times New Roman"/>
          <w:i/>
          <w:iCs/>
          <w:sz w:val="28"/>
          <w:szCs w:val="28"/>
        </w:rPr>
      </w:pPr>
      <w:r w:rsidRPr="00CB4372">
        <w:rPr>
          <w:rFonts w:ascii="Times New Roman" w:hAnsi="Times New Roman" w:cs="Times New Roman"/>
          <w:i/>
          <w:iCs/>
          <w:sz w:val="28"/>
          <w:szCs w:val="28"/>
        </w:rPr>
        <w:t>Căn cứ Luật Xử lý vi phạm hành chính ngày 20 tháng 6 năm 2012; Luật sửa đổi, bổ sung một số điều của Luật Xử lý vi phạm hành chính ngày 13 tháng 11 năm 2020;</w:t>
      </w:r>
    </w:p>
    <w:p w:rsidR="00CB4372" w:rsidRPr="00CB4372" w:rsidRDefault="00CB4372" w:rsidP="00CB4372">
      <w:pPr>
        <w:ind w:firstLine="567"/>
        <w:jc w:val="both"/>
        <w:rPr>
          <w:rFonts w:ascii="Times New Roman" w:hAnsi="Times New Roman" w:cs="Times New Roman"/>
          <w:i/>
          <w:iCs/>
          <w:sz w:val="28"/>
          <w:szCs w:val="28"/>
        </w:rPr>
      </w:pPr>
      <w:r w:rsidRPr="00CB4372">
        <w:rPr>
          <w:rFonts w:ascii="Times New Roman" w:hAnsi="Times New Roman" w:cs="Times New Roman"/>
          <w:i/>
          <w:iCs/>
          <w:sz w:val="28"/>
          <w:szCs w:val="28"/>
        </w:rPr>
        <w:t>Căn cứ Nghị định số 118/2021/NĐ-CP ngày 23 tháng 12 năm 2021 của Chính phủ quy định chi tiết một số điều và biện pháp thi hành Luật Xử lý vi phạm hành chính;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rsidR="00CB4372" w:rsidRPr="00CB4372" w:rsidRDefault="00CB4372" w:rsidP="00CB4372">
      <w:pPr>
        <w:ind w:firstLine="567"/>
        <w:jc w:val="both"/>
        <w:rPr>
          <w:rFonts w:ascii="Times New Roman" w:hAnsi="Times New Roman" w:cs="Times New Roman"/>
          <w:i/>
          <w:iCs/>
          <w:sz w:val="28"/>
          <w:szCs w:val="28"/>
        </w:rPr>
      </w:pPr>
      <w:r w:rsidRPr="00CB4372">
        <w:rPr>
          <w:rFonts w:ascii="Times New Roman" w:hAnsi="Times New Roman" w:cs="Times New Roman"/>
          <w:i/>
          <w:iCs/>
          <w:sz w:val="28"/>
          <w:szCs w:val="28"/>
        </w:rPr>
        <w:t>Căn cứ Nghị định số 02/2025/NĐ-CP ngày 18 tháng 02 năm 2025 của Chính phủ quy định chức năng, nhiệm vụ, quyền hạn và cơ cấu tổ chức của Bộ Công an; </w:t>
      </w:r>
    </w:p>
    <w:p w:rsidR="00CB4372" w:rsidRPr="00CB4372" w:rsidRDefault="00CB4372" w:rsidP="00CB4372">
      <w:pPr>
        <w:ind w:firstLine="567"/>
        <w:jc w:val="both"/>
        <w:rPr>
          <w:rFonts w:ascii="Times New Roman" w:hAnsi="Times New Roman" w:cs="Times New Roman"/>
          <w:i/>
          <w:iCs/>
          <w:sz w:val="28"/>
          <w:szCs w:val="28"/>
        </w:rPr>
      </w:pPr>
      <w:r w:rsidRPr="00CB4372">
        <w:rPr>
          <w:rFonts w:ascii="Times New Roman" w:hAnsi="Times New Roman" w:cs="Times New Roman"/>
          <w:i/>
          <w:iCs/>
          <w:sz w:val="28"/>
          <w:szCs w:val="28"/>
        </w:rPr>
        <w:t>Theo đề nghị của Cục trưởng Cục Cảnh sát quản lý hành chính về trật tự xã hội;</w:t>
      </w:r>
    </w:p>
    <w:p w:rsidR="00CB4372" w:rsidRPr="00CB4372" w:rsidRDefault="00CB4372" w:rsidP="00CB4372">
      <w:pPr>
        <w:ind w:firstLine="567"/>
        <w:jc w:val="both"/>
        <w:rPr>
          <w:rFonts w:ascii="Times New Roman" w:hAnsi="Times New Roman" w:cs="Times New Roman"/>
          <w:i/>
          <w:iCs/>
          <w:sz w:val="28"/>
          <w:szCs w:val="28"/>
        </w:rPr>
      </w:pPr>
      <w:r w:rsidRPr="00CB4372">
        <w:rPr>
          <w:rFonts w:ascii="Times New Roman" w:hAnsi="Times New Roman" w:cs="Times New Roman"/>
          <w:i/>
          <w:iCs/>
          <w:sz w:val="28"/>
          <w:szCs w:val="28"/>
        </w:rPr>
        <w:t>Sau khi có ý kiến đồng ý của Bộ trưởng Bộ Tư pháp tại Công văn số 480/BTP-QLXLVPHC&amp;TDTHPL ngày 04 tháng 02 năm 2025;</w:t>
      </w:r>
    </w:p>
    <w:p w:rsidR="00CB4372" w:rsidRPr="00CB4372" w:rsidRDefault="00CB4372" w:rsidP="00CB4372">
      <w:pPr>
        <w:ind w:firstLine="567"/>
        <w:jc w:val="both"/>
        <w:rPr>
          <w:rFonts w:ascii="Times New Roman" w:hAnsi="Times New Roman" w:cs="Times New Roman"/>
          <w:i/>
          <w:iCs/>
          <w:sz w:val="28"/>
          <w:szCs w:val="28"/>
        </w:rPr>
      </w:pPr>
      <w:r w:rsidRPr="00CB4372">
        <w:rPr>
          <w:rFonts w:ascii="Times New Roman" w:hAnsi="Times New Roman" w:cs="Times New Roman"/>
          <w:i/>
          <w:iCs/>
          <w:sz w:val="28"/>
          <w:szCs w:val="28"/>
        </w:rPr>
        <w:t>Bộ trưởng Bộ Công an ban hành Thông tư quy định về các biểu mẫu sử dụng để xử phạt vi phạm hành chính thuộc thẩm quyền của Công an nhân dân.</w:t>
      </w:r>
    </w:p>
    <w:p w:rsidR="00CB4372" w:rsidRDefault="00CB4372" w:rsidP="00CB4372">
      <w:pPr>
        <w:rPr>
          <w:rFonts w:ascii="Times New Roman" w:hAnsi="Times New Roman" w:cs="Times New Roman"/>
          <w:sz w:val="28"/>
          <w:szCs w:val="28"/>
        </w:rPr>
      </w:pPr>
    </w:p>
    <w:p w:rsidR="00CB4372" w:rsidRPr="00CB4372" w:rsidRDefault="00CB4372" w:rsidP="00CB4372">
      <w:pPr>
        <w:ind w:firstLine="567"/>
        <w:jc w:val="both"/>
        <w:rPr>
          <w:rFonts w:ascii="Times New Roman" w:hAnsi="Times New Roman" w:cs="Times New Roman"/>
          <w:b/>
          <w:bCs/>
          <w:sz w:val="28"/>
          <w:szCs w:val="28"/>
        </w:rPr>
      </w:pPr>
      <w:r w:rsidRPr="00CB4372">
        <w:rPr>
          <w:rFonts w:ascii="Times New Roman" w:hAnsi="Times New Roman" w:cs="Times New Roman"/>
          <w:b/>
          <w:bCs/>
          <w:sz w:val="28"/>
          <w:szCs w:val="28"/>
        </w:rPr>
        <w:t>Điều 1. Phạm vi điều chỉnh</w:t>
      </w:r>
    </w:p>
    <w:p w:rsidR="00CB4372" w:rsidRPr="00CB4372" w:rsidRDefault="00CB4372" w:rsidP="00CB4372">
      <w:pPr>
        <w:jc w:val="both"/>
        <w:rPr>
          <w:rFonts w:ascii="Times New Roman" w:hAnsi="Times New Roman" w:cs="Times New Roman"/>
          <w:sz w:val="28"/>
          <w:szCs w:val="28"/>
        </w:rPr>
      </w:pPr>
      <w:r w:rsidRPr="00CB4372">
        <w:rPr>
          <w:rFonts w:ascii="Times New Roman" w:hAnsi="Times New Roman" w:cs="Times New Roman"/>
          <w:sz w:val="28"/>
          <w:szCs w:val="28"/>
        </w:rPr>
        <w:t>        Thông tư này quy định về biểu mẫu và việc in, sử dụng, quản lý các biểu mẫu sử dụng để xử phạt vi phạm hành chính thuộc thẩm quyền xử phạt vi phạm hành chính của Công an nhân dân.</w:t>
      </w:r>
    </w:p>
    <w:p w:rsidR="00CB4372" w:rsidRPr="00CB4372" w:rsidRDefault="00CB4372" w:rsidP="00CB4372">
      <w:pPr>
        <w:ind w:firstLine="720"/>
        <w:jc w:val="both"/>
        <w:rPr>
          <w:rFonts w:ascii="Times New Roman" w:hAnsi="Times New Roman" w:cs="Times New Roman"/>
          <w:b/>
          <w:bCs/>
          <w:sz w:val="28"/>
          <w:szCs w:val="28"/>
        </w:rPr>
      </w:pPr>
      <w:r w:rsidRPr="00CB4372">
        <w:rPr>
          <w:rFonts w:ascii="Times New Roman" w:hAnsi="Times New Roman" w:cs="Times New Roman"/>
          <w:b/>
          <w:bCs/>
          <w:sz w:val="28"/>
          <w:szCs w:val="28"/>
        </w:rPr>
        <w:t>Điều 2. Đối tượng áp dụng</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Thông tư này áp dụng đối với:</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1. Tổ chức, cá nhân vi phạm hành chính.</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2. Cơ quan, người có thẩm quyền lập biên bản vi phạm hành chính, xử phạt vi phạm hành chính trong Công an nhân dân.</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3. Tổ chức, cá nhân có liên quan đến việc xử phạt vi phạm hành chính của Công an nhân dân.</w:t>
      </w:r>
    </w:p>
    <w:p w:rsidR="00CB4372" w:rsidRPr="00CB4372" w:rsidRDefault="00CB4372" w:rsidP="00CB4372">
      <w:pPr>
        <w:ind w:firstLine="720"/>
        <w:jc w:val="both"/>
        <w:rPr>
          <w:rFonts w:ascii="Times New Roman" w:hAnsi="Times New Roman" w:cs="Times New Roman"/>
          <w:b/>
          <w:bCs/>
          <w:sz w:val="28"/>
          <w:szCs w:val="28"/>
        </w:rPr>
      </w:pPr>
      <w:r w:rsidRPr="00CB4372">
        <w:rPr>
          <w:rFonts w:ascii="Times New Roman" w:hAnsi="Times New Roman" w:cs="Times New Roman"/>
          <w:b/>
          <w:bCs/>
          <w:sz w:val="28"/>
          <w:szCs w:val="28"/>
        </w:rPr>
        <w:t>Điều 3. Biểu mẫu sử dụng để xử phạt vi phạm hành chính</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1. Ban hành kèm theo Thông tư này các biểu mẫu dưới đây sử dụng để xử phạt vi phạm hành chính trong các lĩnh vực quản lý nhà nước thuộc thẩm quyền xử phạt vi phạm hành chính của Công an nhân dân:</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lastRenderedPageBreak/>
        <w:t>a) Quyết định thành lập Hội đồng định giá tang vật, phương tiện vi phạm hành chính (Mẫu số 01/QĐ-TLHĐĐGTVPT);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b) Quyết định thành lập Hội đồng tiêu hủy tang vật, phương tiện vi phạm hành chính (Mẫu số 02/QĐ-TLHĐTHTVPT);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c) Quyết định áp dụng biện pháp quản lý người nước ngoài vi phạm pháp luật Việt Nam trong thời gian làm thủ tục trục xuất (Mẫu số 03/QĐ-ADBPQLNNN);</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d) Biên bản người bị áp giải/trục xuất bỏ trốn (Mẫu số 04/BB-BT);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đ) Biên bản bán tang vật vi phạm hành chính là hàng hóa, vật phẩm dễ bị hư hỏng (Mẫu số 05/BB-BTVVPHC);</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e) Biên bản bàn giao tang vật, phương tiện vi phạm hành chính (Mẫu số 06/BB-BGTVPT);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g) Biên bản về việc cá nhân/tổ chức vi phạm hành chính không thi hành/trốn tránh/trì hoãn thi hành quyết định xử phạt vi phạm hành chính (Mẫu số 07/BB-KTHQĐXP);</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h) Biên bản xác minh điều kiện thi hành quyết định xử phạt vi phạm hành chính (Mẫu số 08/BB-XMĐKTHQĐXP);</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i) Biên bản xác minh chủ sở hữu, người quản lý hoặc người sử dụng hợp pháp tang vật, phương tiện vi phạm hành chính (Mẫu số 09/BB-XMCSHTVPT);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k) Thông báo về việc vi phạm hành chính (Mẫu số 10/TB-VPHC);</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l) Thông báo về việc tạm giữ người theo thủ tục hành chính (Mẫu số 11/TB-TGN);</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m) Thông báo về việc tạm giữ tang vật, phương tiện vi phạm hành chính (Mẫu số 12/TB-TGTVPT);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n) Thông báo về việc tổ chức phiên giải trình trực tiếp (Mẫu số 13/TB-GTTT);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o) Thông báo về việc cưỡng chế thi hành quyết định xử phạt vi phạm hành chính (Mẫu số 14/TB-CCHC);</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p) Tóm tắt lý lịch và hành vi vi phạm pháp luật của người bị đề nghị trục xuất (Mẫu số 15/TTLL-TX);</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q) Bảng thống kê tang vật, phương tiện vi phạm hành chính (Mẫu số 16/BTK-TVPT);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r) Sổ theo dõi xử phạt vi phạm hành chính (Mẫu số 17/STD-XPVPHC);</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s) Sổ theo dõi giữ, tạm giữ, trả lại tang vật, phương tiện, giấy phép, chứng chỉ hành nghề bị giữ, tạm giữ (Mẫu số 18/STD-G/TG/TLTVPT).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2. Ngoài các biểu mẫu được ban hành kèm theo Nghị định số 118/2021/NĐ-CP ngày 23 tháng 12 năm 2021 của Chính phủ quy định chi tiết một số điều và biện pháp thi hành Luật Xử lý vi phạm hành chính (đã được sửa đổi, bổ sung bằng Nghị định số 68/2025/NĐ-CP ngày 18 tháng 3 năm 2025 của Chính phủ), cơ quan, người có thẩm quyền lập biên bản vi phạm hành chính, xử phạt vi phạm hành chính trong Công an nhân dân sử dụng các biểu mẫu quy định tại khoản 1 Điều này để xử phạt vi phạm hành chính. </w:t>
      </w:r>
    </w:p>
    <w:p w:rsidR="00CB4372" w:rsidRPr="00CB4372" w:rsidRDefault="00CB4372" w:rsidP="00CB4372">
      <w:pPr>
        <w:ind w:firstLine="720"/>
        <w:jc w:val="both"/>
        <w:rPr>
          <w:rFonts w:ascii="Times New Roman" w:hAnsi="Times New Roman" w:cs="Times New Roman"/>
          <w:b/>
          <w:bCs/>
          <w:sz w:val="28"/>
          <w:szCs w:val="28"/>
        </w:rPr>
      </w:pPr>
      <w:r w:rsidRPr="00CB4372">
        <w:rPr>
          <w:rFonts w:ascii="Times New Roman" w:hAnsi="Times New Roman" w:cs="Times New Roman"/>
          <w:b/>
          <w:bCs/>
          <w:sz w:val="28"/>
          <w:szCs w:val="28"/>
        </w:rPr>
        <w:t>Điều 4. Nguyên tắc in, sử dụng và quản lý các biểu mẫu</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 xml:space="preserve">1. Các biểu mẫu quy định tại Điều 3 Thông tư này phải in thống nhất bằng mực đen, trên khổ giấy A4, không được thay đổi nội dung của mẫu; riêng đối với </w:t>
      </w:r>
      <w:r w:rsidRPr="00CB4372">
        <w:rPr>
          <w:rFonts w:ascii="Times New Roman" w:hAnsi="Times New Roman" w:cs="Times New Roman"/>
          <w:sz w:val="28"/>
          <w:szCs w:val="28"/>
        </w:rPr>
        <w:lastRenderedPageBreak/>
        <w:t>mẫu quy định tại các điểm r và s khoản 1 Điều 3 Thông tư này in trên khổ giấy A3.</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2. Biểu mẫu sử dụng trong xử phạt vi phạm hành chính được lưu trữ bằng giấy hoặc lưu trữ dưới dạng điện tử. Việc quản lý, sử dụng các biểu mẫu trên môi trường điện tử được thực hiện theo quy định pháp luật về xử lý vi phạm hành chính và giao dịch điện tử. Cơ quan, người có thẩm quyền có thể sử dụng mẫu được in sẵn hoặc tự in các mẫu, quản lý và chịu trách nhiệm theo quy định của pháp luật.</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3. Cơ quan, người có thẩm quyền lập biên bản vi phạm hành chính, xử phạt vi phạm hành chính phải chịu trách nhiệm về tính chính xác, đầy đủ trong việc in, phát hành, quản lý và sử dụng các biểu mẫu ban hành kèm theo Thông tư này.</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4. Kinh phí in các biểu mẫu được sử dụng từ ngân sách nhà nước bảo đảm hoạt động của các lực lượng xử phạt vi phạm hành chính.</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Việc lập dự toán, quản lý, sử dụng và quyết toán kinh phí in, sử dụng, quản lý các biểu mẫu thực hiện theo quy định của Luật Ngân sách nhà nước và các văn bản quy định chi tiết, hướng dẫn thi hành Luật này.</w:t>
      </w:r>
    </w:p>
    <w:p w:rsidR="00CB4372" w:rsidRPr="00CB4372" w:rsidRDefault="00CB4372" w:rsidP="00CB4372">
      <w:pPr>
        <w:ind w:firstLine="720"/>
        <w:jc w:val="both"/>
        <w:rPr>
          <w:rFonts w:ascii="Times New Roman" w:hAnsi="Times New Roman" w:cs="Times New Roman"/>
          <w:b/>
          <w:bCs/>
          <w:sz w:val="28"/>
          <w:szCs w:val="28"/>
        </w:rPr>
      </w:pPr>
      <w:r w:rsidRPr="00CB4372">
        <w:rPr>
          <w:rFonts w:ascii="Times New Roman" w:hAnsi="Times New Roman" w:cs="Times New Roman"/>
          <w:b/>
          <w:bCs/>
          <w:sz w:val="28"/>
          <w:szCs w:val="28"/>
        </w:rPr>
        <w:t>Điều 5. Hiệu lực thi hành </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Thông tư này có hiệu lực thi hành kể từ ngày 20 tháng 7 năm 2025.</w:t>
      </w:r>
    </w:p>
    <w:p w:rsidR="00CB4372" w:rsidRPr="00CB4372" w:rsidRDefault="00CB4372" w:rsidP="00CB4372">
      <w:pPr>
        <w:ind w:firstLine="720"/>
        <w:jc w:val="both"/>
        <w:rPr>
          <w:rFonts w:ascii="Times New Roman" w:hAnsi="Times New Roman" w:cs="Times New Roman"/>
          <w:b/>
          <w:bCs/>
          <w:sz w:val="28"/>
          <w:szCs w:val="28"/>
        </w:rPr>
      </w:pPr>
      <w:r w:rsidRPr="00CB4372">
        <w:rPr>
          <w:rFonts w:ascii="Times New Roman" w:hAnsi="Times New Roman" w:cs="Times New Roman"/>
          <w:b/>
          <w:bCs/>
          <w:sz w:val="28"/>
          <w:szCs w:val="28"/>
        </w:rPr>
        <w:t>Điều 6. Trách nhiệm thi hành</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1. Cục trưởng Cục Cảnh sát quản lý hành chính về trật tự xã hội có trách nhiệm theo dõi, kiểm tra, đôn đốc việc thực hiện Thông tư này.</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2. Thủ trưởng đơn vị thuộc cơ quan Bộ, Giám đốc Công an tỉnh, thành phố trực thuộc trung ương và các cơ quan, tổ chức, cá nhân có liên quan chịu trách nhiệm thi hành Thông tư này.</w:t>
      </w:r>
    </w:p>
    <w:p w:rsidR="00CB4372" w:rsidRPr="00CB4372" w:rsidRDefault="00CB4372" w:rsidP="00CB4372">
      <w:pPr>
        <w:ind w:firstLine="720"/>
        <w:jc w:val="both"/>
        <w:rPr>
          <w:rFonts w:ascii="Times New Roman" w:hAnsi="Times New Roman" w:cs="Times New Roman"/>
          <w:sz w:val="28"/>
          <w:szCs w:val="28"/>
        </w:rPr>
      </w:pPr>
      <w:r w:rsidRPr="00CB4372">
        <w:rPr>
          <w:rFonts w:ascii="Times New Roman" w:hAnsi="Times New Roman" w:cs="Times New Roman"/>
          <w:sz w:val="28"/>
          <w:szCs w:val="28"/>
        </w:rPr>
        <w:t>3. Trong quá trình thực hiện Thông tư này, nếu có vướng mắc, Công an các đơn vị, địa phương báo cáo về Bộ Công an (qua Cục Cảnh sát quản lý hành chính về trật tự xã hội) để có hướng dẫn kịp thời./.</w:t>
      </w:r>
    </w:p>
    <w:p w:rsidR="006767F9" w:rsidRDefault="006767F9" w:rsidP="00CB4372">
      <w:pPr>
        <w:rPr>
          <w:rFonts w:ascii="Times New Roman" w:hAnsi="Times New Roman" w:cs="Times New Roman"/>
          <w:sz w:val="28"/>
          <w:szCs w:val="28"/>
        </w:rPr>
      </w:pPr>
    </w:p>
    <w:tbl>
      <w:tblPr>
        <w:tblW w:w="14905" w:type="dxa"/>
        <w:tblCellSpacing w:w="15" w:type="dxa"/>
        <w:tblCellMar>
          <w:top w:w="15" w:type="dxa"/>
          <w:left w:w="15" w:type="dxa"/>
          <w:bottom w:w="15" w:type="dxa"/>
          <w:right w:w="15" w:type="dxa"/>
        </w:tblCellMar>
        <w:tblLook w:val="04A0" w:firstRow="1" w:lastRow="0" w:firstColumn="1" w:lastColumn="0" w:noHBand="0" w:noVBand="1"/>
      </w:tblPr>
      <w:tblGrid>
        <w:gridCol w:w="10678"/>
        <w:gridCol w:w="4000"/>
        <w:gridCol w:w="66"/>
        <w:gridCol w:w="80"/>
        <w:gridCol w:w="33"/>
        <w:gridCol w:w="48"/>
      </w:tblGrid>
      <w:tr w:rsidR="00CB4372" w:rsidRPr="00CB4372" w:rsidTr="00CB4372">
        <w:trPr>
          <w:gridAfter w:val="5"/>
          <w:wAfter w:w="4186" w:type="dxa"/>
          <w:tblCellSpacing w:w="15" w:type="dxa"/>
        </w:trPr>
        <w:tc>
          <w:tcPr>
            <w:tcW w:w="10629" w:type="dxa"/>
            <w:tcMar>
              <w:top w:w="30" w:type="dxa"/>
              <w:left w:w="0" w:type="dxa"/>
              <w:bottom w:w="30" w:type="dxa"/>
              <w:right w:w="0" w:type="dxa"/>
            </w:tcMar>
            <w:vAlign w:val="center"/>
            <w:hideMark/>
          </w:tcPr>
          <w:p w:rsidR="00CB4372" w:rsidRPr="00CB4372" w:rsidRDefault="00CB4372" w:rsidP="00CB4372">
            <w:pPr>
              <w:rPr>
                <w:rFonts w:ascii="Times New Roman" w:hAnsi="Times New Roman" w:cs="Times New Roman"/>
                <w:b/>
                <w:bCs/>
                <w:sz w:val="28"/>
                <w:szCs w:val="28"/>
              </w:rPr>
            </w:pPr>
          </w:p>
        </w:tc>
      </w:tr>
      <w:tr w:rsidR="00CB4372" w:rsidRPr="00CB4372" w:rsidTr="00CB4372">
        <w:trPr>
          <w:gridAfter w:val="5"/>
          <w:wAfter w:w="4186" w:type="dxa"/>
          <w:tblCellSpacing w:w="15" w:type="dxa"/>
        </w:trPr>
        <w:tc>
          <w:tcPr>
            <w:tcW w:w="10629" w:type="dxa"/>
            <w:tcMar>
              <w:top w:w="30" w:type="dxa"/>
              <w:left w:w="0" w:type="dxa"/>
              <w:bottom w:w="30" w:type="dxa"/>
              <w:right w:w="0" w:type="dxa"/>
            </w:tcMar>
            <w:vAlign w:val="center"/>
            <w:hideMark/>
          </w:tcPr>
          <w:p w:rsidR="00CB4372" w:rsidRPr="00CB4372" w:rsidRDefault="00CB4372" w:rsidP="00CB4372">
            <w:pPr>
              <w:ind w:firstLine="4500"/>
              <w:rPr>
                <w:rFonts w:ascii="Times New Roman" w:hAnsi="Times New Roman" w:cs="Times New Roman"/>
                <w:b/>
                <w:bCs/>
                <w:sz w:val="28"/>
                <w:szCs w:val="28"/>
              </w:rPr>
            </w:pPr>
            <w:r>
              <w:rPr>
                <w:rFonts w:ascii="Times New Roman" w:hAnsi="Times New Roman" w:cs="Times New Roman"/>
                <w:b/>
                <w:bCs/>
                <w:sz w:val="28"/>
                <w:szCs w:val="28"/>
                <w:lang w:val="vi-VN"/>
              </w:rPr>
              <w:t xml:space="preserve">                          </w:t>
            </w:r>
            <w:r w:rsidRPr="00CB4372">
              <w:rPr>
                <w:rFonts w:ascii="Times New Roman" w:hAnsi="Times New Roman" w:cs="Times New Roman"/>
                <w:b/>
                <w:bCs/>
                <w:sz w:val="28"/>
                <w:szCs w:val="28"/>
              </w:rPr>
              <w:t>BỘ TRƯỞNG</w:t>
            </w:r>
          </w:p>
        </w:tc>
      </w:tr>
      <w:tr w:rsidR="00CB4372" w:rsidRPr="00CB4372" w:rsidTr="00CB4372">
        <w:trPr>
          <w:gridAfter w:val="4"/>
          <w:wAfter w:w="182" w:type="dxa"/>
          <w:tblCellSpacing w:w="15" w:type="dxa"/>
        </w:trPr>
        <w:tc>
          <w:tcPr>
            <w:tcW w:w="14633" w:type="dxa"/>
            <w:gridSpan w:val="2"/>
            <w:tcMar>
              <w:top w:w="30" w:type="dxa"/>
              <w:left w:w="0" w:type="dxa"/>
              <w:bottom w:w="30" w:type="dxa"/>
              <w:right w:w="0" w:type="dxa"/>
            </w:tcMar>
            <w:vAlign w:val="center"/>
            <w:hideMark/>
          </w:tcPr>
          <w:p w:rsidR="00CB4372" w:rsidRPr="00CB4372" w:rsidRDefault="00CB4372" w:rsidP="00CB4372">
            <w:pPr>
              <w:ind w:firstLine="4500"/>
              <w:rPr>
                <w:rFonts w:ascii="Times New Roman" w:hAnsi="Times New Roman" w:cs="Times New Roman"/>
                <w:i/>
                <w:iCs/>
                <w:sz w:val="28"/>
                <w:szCs w:val="28"/>
              </w:rPr>
            </w:pPr>
            <w:r w:rsidRPr="00CB4372">
              <w:rPr>
                <w:rFonts w:ascii="Times New Roman" w:hAnsi="Times New Roman" w:cs="Times New Roman"/>
                <w:i/>
                <w:iCs/>
                <w:sz w:val="28"/>
                <w:szCs w:val="28"/>
                <w:lang w:val="vi-VN"/>
              </w:rPr>
              <w:t xml:space="preserve">                               </w:t>
            </w:r>
            <w:r w:rsidRPr="00CB4372">
              <w:rPr>
                <w:rFonts w:ascii="Times New Roman" w:hAnsi="Times New Roman" w:cs="Times New Roman"/>
                <w:i/>
                <w:iCs/>
                <w:sz w:val="28"/>
                <w:szCs w:val="28"/>
              </w:rPr>
              <w:t>(Đã ký)</w:t>
            </w:r>
          </w:p>
        </w:tc>
      </w:tr>
      <w:tr w:rsidR="00CB4372" w:rsidRPr="00CB4372" w:rsidTr="00CB4372">
        <w:trPr>
          <w:gridAfter w:val="1"/>
          <w:tblCellSpacing w:w="15" w:type="dxa"/>
        </w:trPr>
        <w:tc>
          <w:tcPr>
            <w:tcW w:w="14840" w:type="dxa"/>
            <w:gridSpan w:val="5"/>
            <w:tcMar>
              <w:top w:w="30" w:type="dxa"/>
              <w:left w:w="0" w:type="dxa"/>
              <w:bottom w:w="30" w:type="dxa"/>
              <w:right w:w="0" w:type="dxa"/>
            </w:tcMar>
            <w:vAlign w:val="center"/>
            <w:hideMark/>
          </w:tcPr>
          <w:p w:rsidR="00CB4372" w:rsidRDefault="00CB4372" w:rsidP="00CB4372">
            <w:pPr>
              <w:ind w:firstLine="4500"/>
              <w:jc w:val="center"/>
              <w:rPr>
                <w:rFonts w:ascii="Times New Roman" w:hAnsi="Times New Roman" w:cs="Times New Roman"/>
                <w:b/>
                <w:bCs/>
                <w:sz w:val="28"/>
                <w:szCs w:val="28"/>
              </w:rPr>
            </w:pPr>
          </w:p>
          <w:p w:rsidR="00CB4372" w:rsidRPr="00CB4372" w:rsidRDefault="00CB4372" w:rsidP="00CB4372">
            <w:pPr>
              <w:ind w:firstLine="4500"/>
              <w:jc w:val="center"/>
              <w:rPr>
                <w:rFonts w:ascii="Times New Roman" w:hAnsi="Times New Roman" w:cs="Times New Roman"/>
                <w:b/>
                <w:bCs/>
                <w:sz w:val="28"/>
                <w:szCs w:val="28"/>
              </w:rPr>
            </w:pPr>
          </w:p>
        </w:tc>
      </w:tr>
      <w:tr w:rsidR="00CB4372" w:rsidRPr="00CB4372" w:rsidTr="00CB4372">
        <w:trPr>
          <w:tblCellSpacing w:w="15" w:type="dxa"/>
        </w:trPr>
        <w:tc>
          <w:tcPr>
            <w:tcW w:w="14633" w:type="dxa"/>
            <w:gridSpan w:val="2"/>
            <w:tcMar>
              <w:top w:w="30" w:type="dxa"/>
              <w:left w:w="0" w:type="dxa"/>
              <w:bottom w:w="30" w:type="dxa"/>
              <w:right w:w="0" w:type="dxa"/>
            </w:tcMar>
            <w:vAlign w:val="center"/>
            <w:hideMark/>
          </w:tcPr>
          <w:p w:rsidR="00CB4372" w:rsidRPr="00CB4372" w:rsidRDefault="00CB4372" w:rsidP="00CB4372">
            <w:pPr>
              <w:ind w:firstLine="4500"/>
              <w:rPr>
                <w:rFonts w:ascii="Times New Roman" w:hAnsi="Times New Roman" w:cs="Times New Roman"/>
                <w:b/>
                <w:bCs/>
                <w:sz w:val="28"/>
                <w:szCs w:val="28"/>
              </w:rPr>
            </w:pPr>
            <w:r w:rsidRPr="00CB4372">
              <w:rPr>
                <w:rFonts w:ascii="Times New Roman" w:hAnsi="Times New Roman" w:cs="Times New Roman"/>
                <w:b/>
                <w:bCs/>
                <w:sz w:val="28"/>
                <w:szCs w:val="28"/>
                <w:lang w:val="vi-VN"/>
              </w:rPr>
              <w:t xml:space="preserve">              </w:t>
            </w:r>
            <w:r w:rsidRPr="00CB4372">
              <w:rPr>
                <w:rFonts w:ascii="Times New Roman" w:hAnsi="Times New Roman" w:cs="Times New Roman"/>
                <w:b/>
                <w:bCs/>
                <w:sz w:val="28"/>
                <w:szCs w:val="28"/>
              </w:rPr>
              <w:t>Đại tướng Lương Tam Quang</w:t>
            </w:r>
          </w:p>
        </w:tc>
        <w:tc>
          <w:tcPr>
            <w:tcW w:w="0" w:type="auto"/>
            <w:vAlign w:val="center"/>
            <w:hideMark/>
          </w:tcPr>
          <w:p w:rsidR="00CB4372" w:rsidRPr="00CB4372" w:rsidRDefault="00CB4372" w:rsidP="002820D1">
            <w:pPr>
              <w:rPr>
                <w:rFonts w:ascii="Times New Roman" w:hAnsi="Times New Roman" w:cs="Times New Roman"/>
                <w:sz w:val="28"/>
                <w:szCs w:val="28"/>
              </w:rPr>
            </w:pPr>
          </w:p>
        </w:tc>
        <w:tc>
          <w:tcPr>
            <w:tcW w:w="50" w:type="dxa"/>
            <w:vAlign w:val="center"/>
            <w:hideMark/>
          </w:tcPr>
          <w:p w:rsidR="00CB4372" w:rsidRPr="00CB4372" w:rsidRDefault="00CB4372" w:rsidP="002820D1">
            <w:pPr>
              <w:rPr>
                <w:rFonts w:ascii="Times New Roman" w:hAnsi="Times New Roman" w:cs="Times New Roman"/>
                <w:sz w:val="28"/>
                <w:szCs w:val="28"/>
              </w:rPr>
            </w:pPr>
          </w:p>
        </w:tc>
        <w:tc>
          <w:tcPr>
            <w:tcW w:w="0" w:type="auto"/>
            <w:gridSpan w:val="2"/>
            <w:vAlign w:val="center"/>
            <w:hideMark/>
          </w:tcPr>
          <w:p w:rsidR="00CB4372" w:rsidRPr="00CB4372" w:rsidRDefault="00CB4372" w:rsidP="002820D1">
            <w:pPr>
              <w:rPr>
                <w:rFonts w:ascii="Times New Roman" w:hAnsi="Times New Roman" w:cs="Times New Roman"/>
                <w:sz w:val="28"/>
                <w:szCs w:val="28"/>
              </w:rPr>
            </w:pPr>
          </w:p>
        </w:tc>
      </w:tr>
    </w:tbl>
    <w:p w:rsidR="00CB4372" w:rsidRPr="00CB4372" w:rsidRDefault="00CB4372" w:rsidP="00CB4372">
      <w:pPr>
        <w:rPr>
          <w:rFonts w:ascii="Times New Roman" w:hAnsi="Times New Roman" w:cs="Times New Roman"/>
          <w:sz w:val="28"/>
          <w:szCs w:val="28"/>
        </w:rPr>
      </w:pPr>
    </w:p>
    <w:sectPr w:rsidR="00CB4372" w:rsidRPr="00CB4372" w:rsidSect="00CB4372">
      <w:pgSz w:w="11900" w:h="16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72"/>
    <w:rsid w:val="006767F9"/>
    <w:rsid w:val="009F75F9"/>
    <w:rsid w:val="00CB437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134D"/>
  <w15:chartTrackingRefBased/>
  <w15:docId w15:val="{B6491BBA-D14A-684A-A687-2EEAABD3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437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372"/>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CB4372"/>
    <w:rPr>
      <w:color w:val="0000FF"/>
      <w:u w:val="single"/>
    </w:rPr>
  </w:style>
  <w:style w:type="paragraph" w:styleId="NormalWeb">
    <w:name w:val="Normal (Web)"/>
    <w:basedOn w:val="Normal"/>
    <w:uiPriority w:val="99"/>
    <w:semiHidden/>
    <w:unhideWhenUsed/>
    <w:rsid w:val="00CB437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4372"/>
    <w:rPr>
      <w:b/>
      <w:bCs/>
    </w:rPr>
  </w:style>
  <w:style w:type="character" w:customStyle="1" w:styleId="apple-converted-space">
    <w:name w:val="apple-converted-space"/>
    <w:basedOn w:val="DefaultParagraphFont"/>
    <w:rsid w:val="00CB4372"/>
  </w:style>
  <w:style w:type="character" w:styleId="Emphasis">
    <w:name w:val="Emphasis"/>
    <w:basedOn w:val="DefaultParagraphFont"/>
    <w:uiPriority w:val="20"/>
    <w:qFormat/>
    <w:rsid w:val="00CB4372"/>
    <w:rPr>
      <w:i/>
      <w:iCs/>
    </w:rPr>
  </w:style>
  <w:style w:type="character" w:styleId="FollowedHyperlink">
    <w:name w:val="FollowedHyperlink"/>
    <w:basedOn w:val="DefaultParagraphFont"/>
    <w:uiPriority w:val="99"/>
    <w:semiHidden/>
    <w:unhideWhenUsed/>
    <w:rsid w:val="00CB43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1321</Words>
  <Characters>5236</Characters>
  <Application>Microsoft Office Word</Application>
  <DocSecurity>0</DocSecurity>
  <Lines>106</Lines>
  <Paragraphs>39</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2025-06-11T06:01:00Z</dcterms:created>
  <dcterms:modified xsi:type="dcterms:W3CDTF">2025-06-11T06:14:00Z</dcterms:modified>
</cp:coreProperties>
</file>